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3EF2" w14:textId="77777777" w:rsidR="00E71CE4" w:rsidRPr="002D29DA" w:rsidRDefault="00E71CE4" w:rsidP="00E71CE4">
      <w:pPr>
        <w:rPr>
          <w:rFonts w:eastAsia="Times New Roman" w:cs="Times New Roman"/>
        </w:rPr>
      </w:pPr>
      <w:r w:rsidRPr="002D29DA">
        <w:rPr>
          <w:rFonts w:eastAsia="Times New Roman" w:cs="Times New Roman"/>
        </w:rPr>
        <w:t>Mr. Gorham</w:t>
      </w:r>
      <w:r w:rsidR="000366EE">
        <w:rPr>
          <w:rFonts w:eastAsia="Times New Roman" w:cs="Times New Roman"/>
        </w:rPr>
        <w:tab/>
      </w:r>
      <w:r w:rsidR="000366EE">
        <w:rPr>
          <w:rFonts w:eastAsia="Times New Roman" w:cs="Times New Roman"/>
        </w:rPr>
        <w:tab/>
      </w:r>
      <w:r w:rsidR="000366EE">
        <w:rPr>
          <w:rFonts w:eastAsia="Times New Roman" w:cs="Times New Roman"/>
        </w:rPr>
        <w:tab/>
      </w:r>
      <w:r w:rsidR="000366EE">
        <w:rPr>
          <w:rFonts w:eastAsia="Times New Roman" w:cs="Times New Roman"/>
        </w:rPr>
        <w:tab/>
      </w:r>
      <w:r w:rsidR="000366EE">
        <w:rPr>
          <w:rFonts w:eastAsia="Times New Roman" w:cs="Times New Roman"/>
        </w:rPr>
        <w:tab/>
      </w:r>
      <w:r w:rsidR="000366EE">
        <w:rPr>
          <w:rFonts w:eastAsia="Times New Roman" w:cs="Times New Roman"/>
        </w:rPr>
        <w:tab/>
        <w:t>Name: _________________________________________</w:t>
      </w:r>
    </w:p>
    <w:p w14:paraId="0C56B5F7" w14:textId="77777777" w:rsidR="00E71CE4" w:rsidRPr="002D29DA" w:rsidRDefault="00E71CE4" w:rsidP="00E71CE4">
      <w:pPr>
        <w:rPr>
          <w:rFonts w:eastAsia="Times New Roman" w:cs="Times New Roman"/>
        </w:rPr>
      </w:pPr>
      <w:r w:rsidRPr="002D29DA">
        <w:rPr>
          <w:rFonts w:eastAsia="Times New Roman" w:cs="Times New Roman"/>
        </w:rPr>
        <w:t>U.S. History II/</w:t>
      </w:r>
      <w:r w:rsidRPr="000366EE">
        <w:rPr>
          <w:rFonts w:eastAsia="Times New Roman" w:cs="Times New Roman"/>
          <w:i/>
        </w:rPr>
        <w:t>The First World War</w:t>
      </w:r>
      <w:r w:rsidR="000366EE">
        <w:rPr>
          <w:rFonts w:eastAsia="Times New Roman" w:cs="Times New Roman"/>
          <w:i/>
        </w:rPr>
        <w:tab/>
      </w:r>
      <w:r w:rsidR="000366EE">
        <w:rPr>
          <w:rFonts w:eastAsia="Times New Roman" w:cs="Times New Roman"/>
          <w:i/>
        </w:rPr>
        <w:tab/>
      </w:r>
      <w:r w:rsidR="000366EE">
        <w:rPr>
          <w:rFonts w:eastAsia="Times New Roman" w:cs="Times New Roman"/>
          <w:i/>
        </w:rPr>
        <w:tab/>
        <w:t>Block: _________</w:t>
      </w:r>
    </w:p>
    <w:p w14:paraId="758F7581" w14:textId="77777777" w:rsidR="00E71CE4" w:rsidRPr="002D29DA" w:rsidRDefault="00E71CE4" w:rsidP="00E71CE4">
      <w:pPr>
        <w:rPr>
          <w:rFonts w:eastAsia="Times New Roman" w:cs="Times New Roman"/>
        </w:rPr>
      </w:pPr>
    </w:p>
    <w:p w14:paraId="1B9BDF96" w14:textId="77777777" w:rsidR="00E71CE4" w:rsidRPr="0097680D" w:rsidRDefault="00E71CE4" w:rsidP="00E71CE4">
      <w:pPr>
        <w:jc w:val="center"/>
        <w:rPr>
          <w:rFonts w:eastAsia="Times New Roman" w:cs="Times New Roman"/>
          <w:b/>
          <w:sz w:val="28"/>
          <w:szCs w:val="28"/>
        </w:rPr>
      </w:pPr>
      <w:r w:rsidRPr="0097680D">
        <w:rPr>
          <w:rFonts w:eastAsia="Times New Roman" w:cs="Times New Roman"/>
          <w:b/>
          <w:sz w:val="28"/>
          <w:szCs w:val="28"/>
        </w:rPr>
        <w:t>Federal Power Expands:  The National Security State</w:t>
      </w:r>
    </w:p>
    <w:p w14:paraId="45DD2B93" w14:textId="77777777" w:rsidR="00E92699" w:rsidRPr="0097680D" w:rsidRDefault="00E71CE4" w:rsidP="00E71CE4">
      <w:pPr>
        <w:jc w:val="center"/>
        <w:rPr>
          <w:rFonts w:eastAsia="Times New Roman" w:cs="Times New Roman"/>
          <w:b/>
          <w:sz w:val="28"/>
          <w:szCs w:val="28"/>
        </w:rPr>
      </w:pPr>
      <w:r w:rsidRPr="0097680D">
        <w:rPr>
          <w:rFonts w:eastAsia="Times New Roman" w:cs="Times New Roman"/>
          <w:b/>
          <w:sz w:val="28"/>
          <w:szCs w:val="28"/>
        </w:rPr>
        <w:t>The Espio</w:t>
      </w:r>
      <w:r w:rsidR="00E92699" w:rsidRPr="0097680D">
        <w:rPr>
          <w:rFonts w:eastAsia="Times New Roman" w:cs="Times New Roman"/>
          <w:b/>
          <w:sz w:val="28"/>
          <w:szCs w:val="28"/>
        </w:rPr>
        <w:t>nage Act of 1917 and the Sedition Act of 1918</w:t>
      </w:r>
    </w:p>
    <w:p w14:paraId="50DD7514" w14:textId="77777777" w:rsidR="00E92699" w:rsidRPr="002D29DA" w:rsidRDefault="00E92699">
      <w:pPr>
        <w:rPr>
          <w:rFonts w:eastAsia="Times New Roman" w:cs="Times New Roman"/>
        </w:rPr>
      </w:pPr>
    </w:p>
    <w:p w14:paraId="5AE14F77" w14:textId="77777777" w:rsidR="00B94548" w:rsidRPr="00B94548" w:rsidRDefault="00B94548">
      <w:pPr>
        <w:rPr>
          <w:rFonts w:eastAsia="Times New Roman" w:cs="Times New Roman"/>
        </w:rPr>
      </w:pPr>
      <w:r w:rsidRPr="00B94548">
        <w:rPr>
          <w:rFonts w:eastAsia="Times New Roman" w:cs="Times New Roman"/>
        </w:rPr>
        <w:t xml:space="preserve">The First Amendment </w:t>
      </w:r>
      <w:r>
        <w:rPr>
          <w:rFonts w:eastAsia="Times New Roman" w:cs="Times New Roman"/>
        </w:rPr>
        <w:t xml:space="preserve">to the United States Constitution </w:t>
      </w:r>
      <w:r w:rsidRPr="00B94548">
        <w:rPr>
          <w:rFonts w:eastAsia="Times New Roman" w:cs="Times New Roman"/>
        </w:rPr>
        <w:t>guarantees freedoms concerning religion, expression, assemb</w:t>
      </w:r>
      <w:r w:rsidR="00B01BD8">
        <w:rPr>
          <w:rFonts w:eastAsia="Times New Roman" w:cs="Times New Roman"/>
        </w:rPr>
        <w:t xml:space="preserve">ly, and the right to petition. </w:t>
      </w:r>
      <w:r w:rsidRPr="00B94548">
        <w:rPr>
          <w:rFonts w:eastAsia="Times New Roman" w:cs="Times New Roman"/>
        </w:rPr>
        <w:t>It forbids Congress from both</w:t>
      </w:r>
      <w:hyperlink r:id="rId8" w:history="1">
        <w:r w:rsidRPr="00B94548">
          <w:rPr>
            <w:rStyle w:val="Hyperlink"/>
            <w:rFonts w:eastAsia="Times New Roman" w:cs="Times New Roman"/>
            <w:color w:val="auto"/>
            <w:u w:val="none"/>
          </w:rPr>
          <w:t xml:space="preserve"> promoting one religion over others</w:t>
        </w:r>
      </w:hyperlink>
      <w:r w:rsidRPr="00B94548">
        <w:rPr>
          <w:rFonts w:eastAsia="Times New Roman" w:cs="Times New Roman"/>
        </w:rPr>
        <w:t xml:space="preserve"> and also </w:t>
      </w:r>
      <w:hyperlink r:id="rId9" w:history="1">
        <w:r w:rsidRPr="00B94548">
          <w:rPr>
            <w:rStyle w:val="Hyperlink"/>
            <w:rFonts w:eastAsia="Times New Roman" w:cs="Times New Roman"/>
            <w:color w:val="auto"/>
            <w:u w:val="none"/>
          </w:rPr>
          <w:t>restricting an individual’s religious practices</w:t>
        </w:r>
      </w:hyperlink>
      <w:r w:rsidR="00B01BD8">
        <w:rPr>
          <w:rFonts w:eastAsia="Times New Roman" w:cs="Times New Roman"/>
        </w:rPr>
        <w:t xml:space="preserve">. </w:t>
      </w:r>
      <w:r w:rsidRPr="00B94548">
        <w:rPr>
          <w:rFonts w:eastAsia="Times New Roman" w:cs="Times New Roman"/>
        </w:rPr>
        <w:t xml:space="preserve">It guarantees </w:t>
      </w:r>
      <w:hyperlink r:id="rId10" w:anchor="amdt1b_hd2" w:history="1">
        <w:r w:rsidRPr="00B94548">
          <w:rPr>
            <w:rStyle w:val="Hyperlink"/>
            <w:rFonts w:eastAsia="Times New Roman" w:cs="Times New Roman"/>
            <w:color w:val="auto"/>
            <w:u w:val="none"/>
          </w:rPr>
          <w:t>freedom of expression</w:t>
        </w:r>
      </w:hyperlink>
      <w:r w:rsidRPr="00B94548">
        <w:rPr>
          <w:rFonts w:eastAsia="Times New Roman" w:cs="Times New Roman"/>
        </w:rPr>
        <w:t xml:space="preserve"> by prohibiting Congress from restricting the press or the rights o</w:t>
      </w:r>
      <w:r w:rsidR="00B01BD8">
        <w:rPr>
          <w:rFonts w:eastAsia="Times New Roman" w:cs="Times New Roman"/>
        </w:rPr>
        <w:t xml:space="preserve">f individuals to speak freely. </w:t>
      </w:r>
      <w:r w:rsidRPr="00B94548">
        <w:rPr>
          <w:rFonts w:eastAsia="Times New Roman" w:cs="Times New Roman"/>
        </w:rPr>
        <w:t xml:space="preserve">It also guarantees the right of citizens to </w:t>
      </w:r>
      <w:hyperlink r:id="rId11" w:anchor="amdt1e_hd17" w:history="1">
        <w:r w:rsidRPr="00B94548">
          <w:rPr>
            <w:rStyle w:val="Hyperlink"/>
            <w:rFonts w:eastAsia="Times New Roman" w:cs="Times New Roman"/>
            <w:color w:val="auto"/>
            <w:u w:val="none"/>
          </w:rPr>
          <w:t>assemble peaceably and to petition their government</w:t>
        </w:r>
      </w:hyperlink>
      <w:r w:rsidRPr="00B94548">
        <w:rPr>
          <w:rFonts w:eastAsia="Times New Roman" w:cs="Times New Roman"/>
        </w:rPr>
        <w:t>.  </w:t>
      </w:r>
    </w:p>
    <w:p w14:paraId="10B261D9" w14:textId="77777777" w:rsidR="00B94548" w:rsidRDefault="00B94548">
      <w:pPr>
        <w:rPr>
          <w:rFonts w:eastAsia="Times New Roman" w:cs="Times New Roman"/>
        </w:rPr>
      </w:pPr>
    </w:p>
    <w:p w14:paraId="26607E9A" w14:textId="77777777" w:rsidR="00E92699" w:rsidRPr="002D29DA" w:rsidRDefault="00B94548">
      <w:pPr>
        <w:rPr>
          <w:rFonts w:eastAsia="Times New Roman" w:cs="Times New Roman"/>
        </w:rPr>
      </w:pPr>
      <w:r w:rsidRPr="00B94548">
        <w:rPr>
          <w:rFonts w:eastAsia="Times New Roman" w:cs="Times New Roman"/>
        </w:rPr>
        <w:t xml:space="preserve">In 1917 Congress passed the </w:t>
      </w:r>
      <w:r w:rsidR="00E92699" w:rsidRPr="00B94548">
        <w:rPr>
          <w:rFonts w:eastAsia="Times New Roman" w:cs="Times New Roman"/>
          <w:b/>
        </w:rPr>
        <w:t>Espionage Act</w:t>
      </w:r>
      <w:r>
        <w:rPr>
          <w:rFonts w:eastAsia="Times New Roman" w:cs="Times New Roman"/>
        </w:rPr>
        <w:t xml:space="preserve">, which </w:t>
      </w:r>
      <w:r w:rsidR="00E92699" w:rsidRPr="00B94548">
        <w:rPr>
          <w:rFonts w:eastAsia="Times New Roman" w:cs="Times New Roman"/>
        </w:rPr>
        <w:t>authorized</w:t>
      </w:r>
      <w:r w:rsidR="00E92699" w:rsidRPr="002D29DA">
        <w:rPr>
          <w:rFonts w:eastAsia="Times New Roman" w:cs="Times New Roman"/>
        </w:rPr>
        <w:t xml:space="preserve"> the state to punish all individuals who engaged in </w:t>
      </w:r>
      <w:r w:rsidR="00EE2399" w:rsidRPr="002D29DA">
        <w:rPr>
          <w:rFonts w:eastAsia="Times New Roman" w:cs="Times New Roman"/>
        </w:rPr>
        <w:t>expression that</w:t>
      </w:r>
      <w:r w:rsidR="00E92699" w:rsidRPr="002D29DA">
        <w:rPr>
          <w:rFonts w:eastAsia="Times New Roman" w:cs="Times New Roman"/>
        </w:rPr>
        <w:t xml:space="preserve"> supposedly undermined the </w:t>
      </w:r>
      <w:r>
        <w:rPr>
          <w:rFonts w:eastAsia="Times New Roman" w:cs="Times New Roman"/>
        </w:rPr>
        <w:t xml:space="preserve">U.S. wartime </w:t>
      </w:r>
      <w:r w:rsidR="00E92699" w:rsidRPr="002D29DA">
        <w:rPr>
          <w:rFonts w:eastAsia="Times New Roman" w:cs="Times New Roman"/>
        </w:rPr>
        <w:t xml:space="preserve">policies. The law prohibited any individual form undermining the war effort in any way, particularly in regards to protesting conscription and also the war itself. Conviction under the Espionage Act carried with it a possible </w:t>
      </w:r>
      <w:r w:rsidR="00EE2399" w:rsidRPr="002D29DA">
        <w:rPr>
          <w:rFonts w:eastAsia="Times New Roman" w:cs="Times New Roman"/>
        </w:rPr>
        <w:t>20-year</w:t>
      </w:r>
      <w:r w:rsidR="00E92699" w:rsidRPr="002D29DA">
        <w:rPr>
          <w:rFonts w:eastAsia="Times New Roman" w:cs="Times New Roman"/>
        </w:rPr>
        <w:t xml:space="preserve"> prison sentence.</w:t>
      </w:r>
    </w:p>
    <w:p w14:paraId="5EE59955" w14:textId="77777777" w:rsidR="00E92699" w:rsidRPr="002D29DA" w:rsidRDefault="00E92699">
      <w:pPr>
        <w:rPr>
          <w:rFonts w:eastAsia="Times New Roman" w:cs="Times New Roman"/>
        </w:rPr>
      </w:pPr>
    </w:p>
    <w:p w14:paraId="29384558" w14:textId="77777777" w:rsidR="00E92699" w:rsidRPr="002D29DA" w:rsidRDefault="00B94548" w:rsidP="00E92699">
      <w:r w:rsidRPr="00B94548">
        <w:t xml:space="preserve">The next year, Congress added the </w:t>
      </w:r>
      <w:r w:rsidR="00E92699" w:rsidRPr="00B94548">
        <w:rPr>
          <w:b/>
        </w:rPr>
        <w:t>Sedition Act</w:t>
      </w:r>
      <w:r w:rsidRPr="00B94548">
        <w:t>, which</w:t>
      </w:r>
      <w:r>
        <w:t xml:space="preserve"> specified that:  </w:t>
      </w:r>
      <w:r w:rsidR="00E92699" w:rsidRPr="002D29DA">
        <w:t>“It shall be a crime for any person to say anything with intent to obstruct the sale of war bonds; to utter, print, write, or publish any disloyal, profane, scurrilous, or abusive language intended to cause contempt or scorn for the government of the United States, the Constitution, the flag, or the uniform of the army or navy; to urge the curtailment of production of war materials with the intent to hinder the war effort; or to utter any words supporting the cause of any country at war with the United States or opposing the cause of the United States.”</w:t>
      </w:r>
    </w:p>
    <w:p w14:paraId="6EC91749" w14:textId="77777777" w:rsidR="00E92699" w:rsidRDefault="00E92699" w:rsidP="00E92699"/>
    <w:p w14:paraId="338F2EF3" w14:textId="77777777" w:rsidR="00B94548" w:rsidRPr="002D29DA" w:rsidRDefault="00B94548" w:rsidP="00E92699">
      <w:r>
        <w:t>More than 2,000 Americans were charged under these federal laws.  Here is a sampling:</w:t>
      </w:r>
    </w:p>
    <w:p w14:paraId="1708FB9E" w14:textId="77777777" w:rsidR="00E71CE4" w:rsidRPr="002D29DA" w:rsidRDefault="00E71CE4" w:rsidP="00E71CE4">
      <w:pPr>
        <w:pStyle w:val="text"/>
        <w:rPr>
          <w:rFonts w:asciiTheme="minorHAnsi" w:hAnsiTheme="minorHAnsi" w:cs="Times New Roman"/>
          <w:sz w:val="24"/>
          <w:szCs w:val="24"/>
        </w:rPr>
      </w:pPr>
      <w:r w:rsidRPr="002D29DA">
        <w:rPr>
          <w:rFonts w:asciiTheme="minorHAnsi" w:hAnsiTheme="minorHAnsi" w:cs="Times New Roman"/>
          <w:sz w:val="24"/>
          <w:szCs w:val="24"/>
        </w:rPr>
        <w:t>October 22, 1917—Trenton, N. J.—Frederick Krafft, former Socialist candidate for governor, given five-year sentence and fined $1,000 for criticism of conscription in a street-corner speech.</w:t>
      </w:r>
    </w:p>
    <w:p w14:paraId="4EA99FFC" w14:textId="77777777" w:rsidR="00E71CE4" w:rsidRPr="002D29DA" w:rsidRDefault="00EE2399" w:rsidP="00E71CE4">
      <w:pPr>
        <w:pStyle w:val="text"/>
        <w:rPr>
          <w:rFonts w:asciiTheme="minorHAnsi" w:hAnsiTheme="minorHAnsi" w:cs="Times New Roman"/>
          <w:sz w:val="24"/>
          <w:szCs w:val="24"/>
        </w:rPr>
      </w:pPr>
      <w:r w:rsidRPr="002D29DA">
        <w:rPr>
          <w:rFonts w:asciiTheme="minorHAnsi" w:hAnsiTheme="minorHAnsi" w:cs="Times New Roman"/>
          <w:sz w:val="24"/>
          <w:szCs w:val="24"/>
        </w:rPr>
        <w:t>January</w:t>
      </w:r>
      <w:r>
        <w:rPr>
          <w:rFonts w:asciiTheme="minorHAnsi" w:hAnsiTheme="minorHAnsi" w:cs="Times New Roman"/>
          <w:sz w:val="24"/>
          <w:szCs w:val="24"/>
        </w:rPr>
        <w:t xml:space="preserve"> 1918—Dos Moines, IA</w:t>
      </w:r>
      <w:r w:rsidRPr="002D29DA">
        <w:rPr>
          <w:rFonts w:asciiTheme="minorHAnsi" w:hAnsiTheme="minorHAnsi" w:cs="Times New Roman"/>
          <w:sz w:val="24"/>
          <w:szCs w:val="24"/>
        </w:rPr>
        <w:t>—D. T. Blodgett sentenced to 20 years for circulating a leaflet opposing re-election of congressmen who had voted for conscription.</w:t>
      </w:r>
    </w:p>
    <w:p w14:paraId="5C6B5A3E" w14:textId="77777777" w:rsidR="00E71CE4" w:rsidRPr="002D29DA" w:rsidRDefault="00E71CE4" w:rsidP="00E71CE4">
      <w:pPr>
        <w:pStyle w:val="text"/>
        <w:rPr>
          <w:rFonts w:asciiTheme="minorHAnsi" w:hAnsiTheme="minorHAnsi" w:cs="Times New Roman"/>
          <w:sz w:val="24"/>
          <w:szCs w:val="24"/>
        </w:rPr>
      </w:pPr>
      <w:r w:rsidRPr="002D29DA">
        <w:rPr>
          <w:rFonts w:asciiTheme="minorHAnsi" w:hAnsiTheme="minorHAnsi" w:cs="Times New Roman"/>
          <w:sz w:val="24"/>
          <w:szCs w:val="24"/>
        </w:rPr>
        <w:t>June 27, 1918—Portland, Ore.—Gustav Erdmann, member of the I. W. W., convicted for telling lumbermen to leave Loyal Legion of Loggers and Lumbermen and join the I. W. W. to get results.</w:t>
      </w:r>
    </w:p>
    <w:p w14:paraId="1D71D23E" w14:textId="77777777" w:rsidR="00E71CE4" w:rsidRPr="002D29DA" w:rsidRDefault="00E71CE4" w:rsidP="00E71CE4">
      <w:pPr>
        <w:pStyle w:val="text"/>
        <w:rPr>
          <w:rFonts w:asciiTheme="minorHAnsi" w:hAnsiTheme="minorHAnsi" w:cs="Times New Roman"/>
          <w:sz w:val="24"/>
          <w:szCs w:val="24"/>
        </w:rPr>
      </w:pPr>
      <w:r w:rsidRPr="002D29DA">
        <w:rPr>
          <w:rFonts w:asciiTheme="minorHAnsi" w:hAnsiTheme="minorHAnsi" w:cs="Times New Roman"/>
          <w:sz w:val="24"/>
          <w:szCs w:val="24"/>
        </w:rPr>
        <w:t>July 20, 1918—Los Angeles, Calif.—L. N. Legendre sentenced to two years for sa</w:t>
      </w:r>
      <w:r w:rsidR="00EE2399">
        <w:rPr>
          <w:rFonts w:asciiTheme="minorHAnsi" w:hAnsiTheme="minorHAnsi" w:cs="Times New Roman"/>
          <w:sz w:val="24"/>
          <w:szCs w:val="24"/>
        </w:rPr>
        <w:t>ying: “This i</w:t>
      </w:r>
      <w:r w:rsidRPr="002D29DA">
        <w:rPr>
          <w:rFonts w:asciiTheme="minorHAnsi" w:hAnsiTheme="minorHAnsi" w:cs="Times New Roman"/>
          <w:sz w:val="24"/>
          <w:szCs w:val="24"/>
        </w:rPr>
        <w:t xml:space="preserve">s a war fostered by </w:t>
      </w:r>
      <w:r w:rsidR="0097680D">
        <w:rPr>
          <w:rFonts w:asciiTheme="minorHAnsi" w:hAnsiTheme="minorHAnsi" w:cs="Times New Roman"/>
          <w:sz w:val="24"/>
          <w:szCs w:val="24"/>
        </w:rPr>
        <w:t xml:space="preserve">J.P. </w:t>
      </w:r>
      <w:r w:rsidRPr="002D29DA">
        <w:rPr>
          <w:rFonts w:asciiTheme="minorHAnsi" w:hAnsiTheme="minorHAnsi" w:cs="Times New Roman"/>
          <w:sz w:val="24"/>
          <w:szCs w:val="24"/>
        </w:rPr>
        <w:t>Morgan and the rich.”</w:t>
      </w:r>
    </w:p>
    <w:p w14:paraId="329B6692" w14:textId="77777777" w:rsidR="00E71CE4" w:rsidRPr="002D29DA" w:rsidRDefault="00E71CE4" w:rsidP="00E71CE4">
      <w:pPr>
        <w:pStyle w:val="text"/>
        <w:rPr>
          <w:rFonts w:asciiTheme="minorHAnsi" w:hAnsiTheme="minorHAnsi" w:cs="Times New Roman"/>
          <w:sz w:val="24"/>
          <w:szCs w:val="24"/>
        </w:rPr>
      </w:pPr>
      <w:r w:rsidRPr="002D29DA">
        <w:rPr>
          <w:rFonts w:asciiTheme="minorHAnsi" w:hAnsiTheme="minorHAnsi" w:cs="Times New Roman"/>
          <w:sz w:val="24"/>
          <w:szCs w:val="24"/>
        </w:rPr>
        <w:t>August 13, 1918—Tacoma, Wash.—W. H. Kaufman given five years for allegedly remarking: “Liberty bonds are a disgrace to America” and “America was buncoed</w:t>
      </w:r>
      <w:r w:rsidR="0097680D">
        <w:rPr>
          <w:rFonts w:asciiTheme="minorHAnsi" w:hAnsiTheme="minorHAnsi" w:cs="Times New Roman"/>
          <w:sz w:val="24"/>
          <w:szCs w:val="24"/>
        </w:rPr>
        <w:t xml:space="preserve"> (cajoled)</w:t>
      </w:r>
      <w:r w:rsidRPr="002D29DA">
        <w:rPr>
          <w:rFonts w:asciiTheme="minorHAnsi" w:hAnsiTheme="minorHAnsi" w:cs="Times New Roman"/>
          <w:sz w:val="24"/>
          <w:szCs w:val="24"/>
        </w:rPr>
        <w:t xml:space="preserve"> into the war by </w:t>
      </w:r>
      <w:r w:rsidR="00EE2399" w:rsidRPr="002D29DA">
        <w:rPr>
          <w:rFonts w:asciiTheme="minorHAnsi" w:hAnsiTheme="minorHAnsi" w:cs="Times New Roman"/>
          <w:sz w:val="24"/>
          <w:szCs w:val="24"/>
        </w:rPr>
        <w:t>munitions</w:t>
      </w:r>
      <w:r w:rsidRPr="002D29DA">
        <w:rPr>
          <w:rFonts w:asciiTheme="minorHAnsi" w:hAnsiTheme="minorHAnsi" w:cs="Times New Roman"/>
          <w:sz w:val="24"/>
          <w:szCs w:val="24"/>
        </w:rPr>
        <w:t xml:space="preserve"> </w:t>
      </w:r>
      <w:r w:rsidR="0097680D">
        <w:rPr>
          <w:rFonts w:asciiTheme="minorHAnsi" w:hAnsiTheme="minorHAnsi" w:cs="Times New Roman"/>
          <w:sz w:val="24"/>
          <w:szCs w:val="24"/>
        </w:rPr>
        <w:t xml:space="preserve">(arms) </w:t>
      </w:r>
      <w:r w:rsidRPr="002D29DA">
        <w:rPr>
          <w:rFonts w:asciiTheme="minorHAnsi" w:hAnsiTheme="minorHAnsi" w:cs="Times New Roman"/>
          <w:sz w:val="24"/>
          <w:szCs w:val="24"/>
        </w:rPr>
        <w:t>makers.”</w:t>
      </w:r>
    </w:p>
    <w:p w14:paraId="0EBAC4E9" w14:textId="77777777" w:rsidR="00E92699" w:rsidRDefault="00E92699" w:rsidP="00E92699">
      <w:pPr>
        <w:rPr>
          <w:rFonts w:eastAsia="Times New Roman" w:cs="Times New Roman"/>
        </w:rPr>
      </w:pPr>
      <w:r>
        <w:rPr>
          <w:rFonts w:eastAsia="Times New Roman" w:cs="Times New Roman"/>
        </w:rPr>
        <w:t xml:space="preserve">Emma Goldman, an outspoken anarchist, published a monthly magazine titled </w:t>
      </w:r>
      <w:r>
        <w:rPr>
          <w:rStyle w:val="Emphasis"/>
          <w:rFonts w:eastAsia="Times New Roman" w:cs="Times New Roman"/>
        </w:rPr>
        <w:t xml:space="preserve">Mother Earth. </w:t>
      </w:r>
      <w:r>
        <w:rPr>
          <w:rFonts w:eastAsia="Times New Roman" w:cs="Times New Roman"/>
        </w:rPr>
        <w:t>In 1917, Goldman was convicted under the Espionage Act because her magazine featured anarchist material that the Postmaster General c</w:t>
      </w:r>
      <w:r w:rsidR="00B94548">
        <w:rPr>
          <w:rFonts w:eastAsia="Times New Roman" w:cs="Times New Roman"/>
        </w:rPr>
        <w:t>laimed to be “treasonable.”</w:t>
      </w:r>
    </w:p>
    <w:p w14:paraId="2E20D844" w14:textId="77777777" w:rsidR="00B94548" w:rsidRDefault="00B94548" w:rsidP="00E92699">
      <w:pPr>
        <w:rPr>
          <w:rFonts w:eastAsia="Times New Roman" w:cs="Times New Roman"/>
        </w:rPr>
      </w:pPr>
    </w:p>
    <w:p w14:paraId="3D157654" w14:textId="77777777" w:rsidR="00B94548" w:rsidRDefault="00B94548" w:rsidP="00E92699">
      <w:pPr>
        <w:rPr>
          <w:rFonts w:eastAsia="Times New Roman" w:cs="Times New Roman"/>
        </w:rPr>
      </w:pPr>
      <w:r>
        <w:rPr>
          <w:rFonts w:eastAsia="Times New Roman" w:cs="Times New Roman"/>
        </w:rPr>
        <w:t xml:space="preserve">Jacob Frohwerk published an article in a German-language paper in Missouri </w:t>
      </w:r>
      <w:r w:rsidRPr="00B94548">
        <w:rPr>
          <w:rFonts w:eastAsia="Times New Roman" w:cs="Times New Roman"/>
          <w:i/>
        </w:rPr>
        <w:t>Staats Zeitung</w:t>
      </w:r>
      <w:r>
        <w:rPr>
          <w:rFonts w:eastAsia="Times New Roman" w:cs="Times New Roman"/>
        </w:rPr>
        <w:t>, advocating resistance to the draft.</w:t>
      </w:r>
    </w:p>
    <w:p w14:paraId="7B69553F" w14:textId="77777777" w:rsidR="00E92699" w:rsidRDefault="00E92699" w:rsidP="00E92699">
      <w:pPr>
        <w:rPr>
          <w:rFonts w:eastAsia="Times New Roman" w:cs="Times New Roman"/>
        </w:rPr>
      </w:pPr>
    </w:p>
    <w:p w14:paraId="12F83ED6" w14:textId="77777777" w:rsidR="00E92699" w:rsidRDefault="00E92699" w:rsidP="00E92699">
      <w:pPr>
        <w:rPr>
          <w:rFonts w:eastAsia="Times New Roman" w:cs="Times New Roman"/>
        </w:rPr>
      </w:pPr>
      <w:r>
        <w:rPr>
          <w:rFonts w:eastAsia="Times New Roman" w:cs="Times New Roman"/>
        </w:rPr>
        <w:t>Kate Richards O’Hare,</w:t>
      </w:r>
      <w:r w:rsidR="00E71CE4">
        <w:rPr>
          <w:rFonts w:eastAsia="Times New Roman" w:cs="Times New Roman"/>
        </w:rPr>
        <w:t xml:space="preserve"> a Socialist activist gave a speech that was deemed anti-war.  She was convicted of violating the Espionage Act and sentenced to five years in prison.</w:t>
      </w:r>
      <w:r w:rsidR="00E71CE4">
        <w:rPr>
          <w:rStyle w:val="FootnoteReference"/>
          <w:rFonts w:eastAsia="Times New Roman" w:cs="Times New Roman"/>
        </w:rPr>
        <w:footnoteReference w:id="1"/>
      </w:r>
      <w:r w:rsidR="00E71CE4">
        <w:rPr>
          <w:rFonts w:eastAsia="Times New Roman" w:cs="Times New Roman"/>
        </w:rPr>
        <w:t xml:space="preserve">  </w:t>
      </w:r>
    </w:p>
    <w:p w14:paraId="588F4F6A" w14:textId="77777777" w:rsidR="00E92699" w:rsidRDefault="00E92699" w:rsidP="00E92699">
      <w:pPr>
        <w:rPr>
          <w:rFonts w:eastAsia="Times New Roman" w:cs="Times New Roman"/>
        </w:rPr>
      </w:pPr>
    </w:p>
    <w:p w14:paraId="0CE66DC7" w14:textId="77777777" w:rsidR="00E92699" w:rsidRDefault="0097680D" w:rsidP="00E92699">
      <w:pPr>
        <w:rPr>
          <w:rFonts w:eastAsia="Times New Roman" w:cs="Times New Roman"/>
        </w:rPr>
      </w:pPr>
      <w:r>
        <w:rPr>
          <w:rFonts w:eastAsia="Times New Roman" w:cs="Times New Roman"/>
        </w:rPr>
        <w:t xml:space="preserve">Eugene V. Debs, Socialist candidate for President, </w:t>
      </w:r>
      <w:r w:rsidR="00E92699">
        <w:rPr>
          <w:rFonts w:eastAsia="Times New Roman" w:cs="Times New Roman"/>
        </w:rPr>
        <w:t>gave what the government claimed to be an anti-war speech, he was co</w:t>
      </w:r>
      <w:r>
        <w:rPr>
          <w:rFonts w:eastAsia="Times New Roman" w:cs="Times New Roman"/>
        </w:rPr>
        <w:t>nvicted under the Espionage Act.</w:t>
      </w:r>
    </w:p>
    <w:p w14:paraId="7F0E1DB7" w14:textId="77777777" w:rsidR="00E92699" w:rsidRDefault="00E92699" w:rsidP="00E92699">
      <w:pPr>
        <w:rPr>
          <w:rFonts w:eastAsia="Times New Roman" w:cs="Times New Roman"/>
        </w:rPr>
      </w:pPr>
    </w:p>
    <w:p w14:paraId="5B96FF0C" w14:textId="77777777" w:rsidR="00E92699" w:rsidRDefault="0097680D" w:rsidP="00E92699">
      <w:pPr>
        <w:rPr>
          <w:rFonts w:eastAsia="Times New Roman" w:cs="Times New Roman"/>
        </w:rPr>
      </w:pPr>
      <w:r>
        <w:rPr>
          <w:rFonts w:eastAsia="Times New Roman" w:cs="Times New Roman"/>
        </w:rPr>
        <w:t xml:space="preserve">Charles </w:t>
      </w:r>
      <w:r w:rsidR="00B94548">
        <w:rPr>
          <w:rFonts w:eastAsia="Times New Roman" w:cs="Times New Roman"/>
        </w:rPr>
        <w:t xml:space="preserve">T. </w:t>
      </w:r>
      <w:r w:rsidR="00E92699">
        <w:rPr>
          <w:rFonts w:eastAsia="Times New Roman" w:cs="Times New Roman"/>
        </w:rPr>
        <w:t>Schenck, an anti-war activist, encouraged men to resist the draft by handing out</w:t>
      </w:r>
      <w:r>
        <w:rPr>
          <w:rFonts w:eastAsia="Times New Roman" w:cs="Times New Roman"/>
        </w:rPr>
        <w:t xml:space="preserve"> flyers discouraging the draft.</w:t>
      </w:r>
    </w:p>
    <w:p w14:paraId="4AC35C14" w14:textId="77777777" w:rsidR="002D29DA" w:rsidRDefault="002D29DA" w:rsidP="00E92699">
      <w:pPr>
        <w:rPr>
          <w:rFonts w:eastAsia="Times New Roman" w:cs="Times New Roman"/>
        </w:rPr>
      </w:pPr>
    </w:p>
    <w:p w14:paraId="43B05A9C" w14:textId="77777777" w:rsidR="00E92699" w:rsidRDefault="002D29DA" w:rsidP="00E92699">
      <w:pPr>
        <w:rPr>
          <w:rFonts w:eastAsia="Times New Roman" w:cs="Times New Roman"/>
        </w:rPr>
      </w:pPr>
      <w:r>
        <w:rPr>
          <w:rFonts w:eastAsia="Times New Roman" w:cs="Times New Roman"/>
        </w:rPr>
        <w:t xml:space="preserve">Rose Pastor Stokes was sentenced to a 10-year prison term for saying in a letter published in the </w:t>
      </w:r>
      <w:r>
        <w:rPr>
          <w:rStyle w:val="Emphasis"/>
          <w:rFonts w:eastAsia="Times New Roman" w:cs="Times New Roman"/>
        </w:rPr>
        <w:t>Kansas City Star</w:t>
      </w:r>
      <w:r>
        <w:rPr>
          <w:rFonts w:eastAsia="Times New Roman" w:cs="Times New Roman"/>
        </w:rPr>
        <w:t>: “I am for the people and the government is for the profiteers.”</w:t>
      </w:r>
    </w:p>
    <w:p w14:paraId="5F90E95D" w14:textId="77777777" w:rsidR="002D29DA" w:rsidRDefault="002D29DA" w:rsidP="00E92699">
      <w:pPr>
        <w:rPr>
          <w:rFonts w:eastAsia="Times New Roman" w:cs="Times New Roman"/>
        </w:rPr>
      </w:pPr>
    </w:p>
    <w:p w14:paraId="555574B1" w14:textId="77777777" w:rsidR="00E92699" w:rsidRDefault="00B94548" w:rsidP="00E92699">
      <w:pPr>
        <w:rPr>
          <w:rFonts w:eastAsia="Times New Roman" w:cs="Times New Roman"/>
        </w:rPr>
      </w:pPr>
      <w:r>
        <w:rPr>
          <w:rFonts w:eastAsia="Times New Roman" w:cs="Times New Roman"/>
        </w:rPr>
        <w:t xml:space="preserve">A prominent Columbia professor, Henry Wadsworth Longfellow Dana, </w:t>
      </w:r>
      <w:r w:rsidR="00E92699">
        <w:rPr>
          <w:rFonts w:eastAsia="Times New Roman" w:cs="Times New Roman"/>
        </w:rPr>
        <w:t>lost his job by speaking aga</w:t>
      </w:r>
      <w:r w:rsidR="00E71CE4">
        <w:rPr>
          <w:rFonts w:eastAsia="Times New Roman" w:cs="Times New Roman"/>
        </w:rPr>
        <w:t>inst the war in favor of peace.</w:t>
      </w:r>
    </w:p>
    <w:p w14:paraId="4A6A9752" w14:textId="77777777" w:rsidR="00B94548" w:rsidRDefault="00B94548" w:rsidP="00E92699">
      <w:pPr>
        <w:rPr>
          <w:rFonts w:eastAsia="Times New Roman" w:cs="Times New Roman"/>
        </w:rPr>
      </w:pPr>
    </w:p>
    <w:p w14:paraId="763C09A4" w14:textId="77777777" w:rsidR="00B94548" w:rsidRDefault="00B94548" w:rsidP="00E92699">
      <w:pPr>
        <w:rPr>
          <w:rFonts w:eastAsia="Times New Roman" w:cs="Times New Roman"/>
        </w:rPr>
      </w:pPr>
      <w:r>
        <w:rPr>
          <w:rFonts w:eastAsia="Times New Roman" w:cs="Times New Roman"/>
        </w:rPr>
        <w:t xml:space="preserve">Another Columbia </w:t>
      </w:r>
      <w:r w:rsidR="00EE2399">
        <w:rPr>
          <w:rFonts w:eastAsia="Times New Roman" w:cs="Times New Roman"/>
        </w:rPr>
        <w:t>Professor</w:t>
      </w:r>
      <w:r>
        <w:rPr>
          <w:rFonts w:eastAsia="Times New Roman" w:cs="Times New Roman"/>
        </w:rPr>
        <w:t>, J.M. Cattell, psychologist and pacifist.</w:t>
      </w:r>
    </w:p>
    <w:p w14:paraId="784AC525" w14:textId="77777777" w:rsidR="00E92699" w:rsidRDefault="00E92699" w:rsidP="00E92699">
      <w:pPr>
        <w:rPr>
          <w:rFonts w:eastAsia="Times New Roman" w:cs="Times New Roman"/>
        </w:rPr>
      </w:pPr>
    </w:p>
    <w:p w14:paraId="677A2449" w14:textId="77777777" w:rsidR="00E92699" w:rsidRDefault="00E92699" w:rsidP="00E92699">
      <w:r>
        <w:rPr>
          <w:rFonts w:eastAsia="Times New Roman" w:cs="Times New Roman"/>
        </w:rPr>
        <w:t xml:space="preserve">Robert Goldstein, director of the film </w:t>
      </w:r>
      <w:r>
        <w:rPr>
          <w:rStyle w:val="Emphasis"/>
          <w:rFonts w:eastAsia="Times New Roman" w:cs="Times New Roman"/>
        </w:rPr>
        <w:t xml:space="preserve">Spirit of ’76, </w:t>
      </w:r>
      <w:r>
        <w:rPr>
          <w:rFonts w:eastAsia="Times New Roman" w:cs="Times New Roman"/>
        </w:rPr>
        <w:t>under the Espionage Act because the government thought that his film, featuring the war crimes committed against Americans by British armed forces during the Revolutionary War, would hurt the new alliance between the United States and Britain</w:t>
      </w:r>
      <w:r w:rsidR="002D29DA">
        <w:rPr>
          <w:rFonts w:eastAsia="Times New Roman" w:cs="Times New Roman"/>
        </w:rPr>
        <w:t>.</w:t>
      </w:r>
    </w:p>
    <w:p w14:paraId="53CEEA7F" w14:textId="77777777" w:rsidR="00E92699" w:rsidRPr="00E92699" w:rsidRDefault="00E92699" w:rsidP="00E92699"/>
    <w:p w14:paraId="4406EC25" w14:textId="77777777" w:rsidR="00E92699" w:rsidRDefault="00E92699"/>
    <w:p w14:paraId="589E1165" w14:textId="77777777" w:rsidR="000366EE" w:rsidRDefault="000366EE">
      <w:r w:rsidRPr="000366EE">
        <w:rPr>
          <w:u w:val="single"/>
        </w:rPr>
        <w:t>TASK</w:t>
      </w:r>
      <w:r>
        <w:t>: Examine the cases</w:t>
      </w:r>
      <w:r w:rsidR="00B01BD8">
        <w:t xml:space="preserve"> and people</w:t>
      </w:r>
      <w:r>
        <w:t xml:space="preserve"> above carefully.  </w:t>
      </w:r>
      <w:r w:rsidR="00B01BD8" w:rsidRPr="00B01BD8">
        <w:rPr>
          <w:b/>
          <w:i/>
        </w:rPr>
        <w:t>What patterns do you see?</w:t>
      </w:r>
      <w:r w:rsidR="00B01BD8">
        <w:t xml:space="preserve"> </w:t>
      </w:r>
      <w:r>
        <w:t>Who is being targeted under these two laws?  Can you make any generalizatio</w:t>
      </w:r>
      <w:r w:rsidR="00B01BD8">
        <w:t>ns?  Complete sentences, please.</w:t>
      </w:r>
      <w:bookmarkStart w:id="0" w:name="_GoBack"/>
      <w:bookmarkEnd w:id="0"/>
    </w:p>
    <w:p w14:paraId="430E343F" w14:textId="77777777" w:rsidR="00B01BD8" w:rsidRDefault="00B01BD8"/>
    <w:p w14:paraId="12F72596" w14:textId="77777777" w:rsidR="00B01BD8" w:rsidRDefault="00B01BD8">
      <w:r>
        <w:rPr>
          <w:noProof/>
        </w:rPr>
        <mc:AlternateContent>
          <mc:Choice Requires="wps">
            <w:drawing>
              <wp:anchor distT="0" distB="0" distL="114300" distR="114300" simplePos="0" relativeHeight="251660288" behindDoc="0" locked="0" layoutInCell="1" allowOverlap="1" wp14:anchorId="2E69B705" wp14:editId="289F1841">
                <wp:simplePos x="0" y="0"/>
                <wp:positionH relativeFrom="column">
                  <wp:posOffset>0</wp:posOffset>
                </wp:positionH>
                <wp:positionV relativeFrom="paragraph">
                  <wp:posOffset>269240</wp:posOffset>
                </wp:positionV>
                <wp:extent cx="6629400" cy="33147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629400" cy="3314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D72BFFA" w14:textId="77777777" w:rsidR="00B01BD8" w:rsidRDefault="00B01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1.2pt;width:522pt;height:26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" fillcolor="white [3201]" strokecolor="black [3200]" strokeweight="2pt">
                <v:textbox>
                  <w:txbxContent>
                    <w:p w14:paraId="2D72BFFA" w14:textId="77777777" w:rsidR="00B01BD8" w:rsidRDefault="00B01BD8"/>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A723C7E" wp14:editId="0B87A789">
                <wp:simplePos x="0" y="0"/>
                <wp:positionH relativeFrom="column">
                  <wp:posOffset>0</wp:posOffset>
                </wp:positionH>
                <wp:positionV relativeFrom="paragraph">
                  <wp:posOffset>4686300</wp:posOffset>
                </wp:positionV>
                <wp:extent cx="6743700" cy="3657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3657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229F83" w14:textId="77777777" w:rsidR="00B01BD8" w:rsidRDefault="00B01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0;margin-top:369pt;width:531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" filled="f" stroked="f">
                <v:textbox>
                  <w:txbxContent>
                    <w:p w14:paraId="58229F83" w14:textId="77777777" w:rsidR="00B01BD8" w:rsidRDefault="00B01BD8"/>
                  </w:txbxContent>
                </v:textbox>
                <w10:wrap type="square"/>
              </v:shape>
            </w:pict>
          </mc:Fallback>
        </mc:AlternateContent>
      </w:r>
    </w:p>
    <w:sectPr w:rsidR="00B01BD8" w:rsidSect="000366EE">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DFB04" w14:textId="77777777" w:rsidR="00B94548" w:rsidRDefault="00B94548" w:rsidP="00E71CE4">
      <w:r>
        <w:separator/>
      </w:r>
    </w:p>
  </w:endnote>
  <w:endnote w:type="continuationSeparator" w:id="0">
    <w:p w14:paraId="521F1576" w14:textId="77777777" w:rsidR="00B94548" w:rsidRDefault="00B94548" w:rsidP="00E7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9B66" w14:textId="77777777" w:rsidR="000366EE" w:rsidRDefault="000366EE" w:rsidP="009D4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66022" w14:textId="77777777" w:rsidR="000366EE" w:rsidRDefault="000366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02A9" w14:textId="77777777" w:rsidR="000366EE" w:rsidRDefault="000366EE" w:rsidP="009D4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BD8">
      <w:rPr>
        <w:rStyle w:val="PageNumber"/>
        <w:noProof/>
      </w:rPr>
      <w:t>1</w:t>
    </w:r>
    <w:r>
      <w:rPr>
        <w:rStyle w:val="PageNumber"/>
      </w:rPr>
      <w:fldChar w:fldCharType="end"/>
    </w:r>
  </w:p>
  <w:p w14:paraId="0FA3FCE4" w14:textId="77777777" w:rsidR="000366EE" w:rsidRDefault="000366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2ECB0" w14:textId="77777777" w:rsidR="00B94548" w:rsidRDefault="00B94548" w:rsidP="00E71CE4">
      <w:r>
        <w:separator/>
      </w:r>
    </w:p>
  </w:footnote>
  <w:footnote w:type="continuationSeparator" w:id="0">
    <w:p w14:paraId="7F7069EF" w14:textId="77777777" w:rsidR="00B94548" w:rsidRDefault="00B94548" w:rsidP="00E71CE4">
      <w:r>
        <w:continuationSeparator/>
      </w:r>
    </w:p>
  </w:footnote>
  <w:footnote w:id="1">
    <w:p w14:paraId="50A22A5F" w14:textId="77777777" w:rsidR="00B94548" w:rsidRDefault="00B94548">
      <w:pPr>
        <w:pStyle w:val="FootnoteText"/>
      </w:pPr>
      <w:r>
        <w:rPr>
          <w:rStyle w:val="FootnoteReference"/>
        </w:rPr>
        <w:footnoteRef/>
      </w:r>
      <w:r>
        <w:t xml:space="preserve"> </w:t>
      </w:r>
      <w:r>
        <w:rPr>
          <w:sz w:val="20"/>
          <w:szCs w:val="20"/>
        </w:rPr>
        <w:t xml:space="preserve">O’Hare later described her time in prison:  </w:t>
      </w:r>
      <w:r w:rsidRPr="00E71CE4">
        <w:rPr>
          <w:rFonts w:eastAsia="Times New Roman" w:cs="Times New Roman"/>
          <w:sz w:val="20"/>
          <w:szCs w:val="20"/>
        </w:rPr>
        <w:t xml:space="preserve">“The average length of a prison term for a woman convict in the Missouri State Penitentiary is about two years and the amount of labor demanded is just about sufficient to wear the average woman out and send her forth a wreck, only fit for </w:t>
      </w:r>
      <w:r>
        <w:rPr>
          <w:rFonts w:eastAsia="Times New Roman" w:cs="Times New Roman"/>
          <w:sz w:val="20"/>
          <w:szCs w:val="20"/>
        </w:rPr>
        <w:t>the human scrapheap</w:t>
      </w:r>
      <w:r w:rsidRPr="00E71CE4">
        <w:rPr>
          <w:rFonts w:eastAsia="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3984"/>
    <w:multiLevelType w:val="hybridMultilevel"/>
    <w:tmpl w:val="90544C88"/>
    <w:lvl w:ilvl="0" w:tplc="88F214C6">
      <w:start w:val="1"/>
      <w:numFmt w:val="bullet"/>
      <w:lvlText w:val="•"/>
      <w:lvlJc w:val="left"/>
      <w:pPr>
        <w:tabs>
          <w:tab w:val="num" w:pos="720"/>
        </w:tabs>
        <w:ind w:left="720" w:hanging="360"/>
      </w:pPr>
      <w:rPr>
        <w:rFonts w:ascii="Arial" w:hAnsi="Arial" w:hint="default"/>
      </w:rPr>
    </w:lvl>
    <w:lvl w:ilvl="1" w:tplc="2E90C3DE" w:tentative="1">
      <w:start w:val="1"/>
      <w:numFmt w:val="bullet"/>
      <w:lvlText w:val="•"/>
      <w:lvlJc w:val="left"/>
      <w:pPr>
        <w:tabs>
          <w:tab w:val="num" w:pos="1440"/>
        </w:tabs>
        <w:ind w:left="1440" w:hanging="360"/>
      </w:pPr>
      <w:rPr>
        <w:rFonts w:ascii="Arial" w:hAnsi="Arial" w:hint="default"/>
      </w:rPr>
    </w:lvl>
    <w:lvl w:ilvl="2" w:tplc="AC8AC606" w:tentative="1">
      <w:start w:val="1"/>
      <w:numFmt w:val="bullet"/>
      <w:lvlText w:val="•"/>
      <w:lvlJc w:val="left"/>
      <w:pPr>
        <w:tabs>
          <w:tab w:val="num" w:pos="2160"/>
        </w:tabs>
        <w:ind w:left="2160" w:hanging="360"/>
      </w:pPr>
      <w:rPr>
        <w:rFonts w:ascii="Arial" w:hAnsi="Arial" w:hint="default"/>
      </w:rPr>
    </w:lvl>
    <w:lvl w:ilvl="3" w:tplc="62FE49CC" w:tentative="1">
      <w:start w:val="1"/>
      <w:numFmt w:val="bullet"/>
      <w:lvlText w:val="•"/>
      <w:lvlJc w:val="left"/>
      <w:pPr>
        <w:tabs>
          <w:tab w:val="num" w:pos="2880"/>
        </w:tabs>
        <w:ind w:left="2880" w:hanging="360"/>
      </w:pPr>
      <w:rPr>
        <w:rFonts w:ascii="Arial" w:hAnsi="Arial" w:hint="default"/>
      </w:rPr>
    </w:lvl>
    <w:lvl w:ilvl="4" w:tplc="95486720" w:tentative="1">
      <w:start w:val="1"/>
      <w:numFmt w:val="bullet"/>
      <w:lvlText w:val="•"/>
      <w:lvlJc w:val="left"/>
      <w:pPr>
        <w:tabs>
          <w:tab w:val="num" w:pos="3600"/>
        </w:tabs>
        <w:ind w:left="3600" w:hanging="360"/>
      </w:pPr>
      <w:rPr>
        <w:rFonts w:ascii="Arial" w:hAnsi="Arial" w:hint="default"/>
      </w:rPr>
    </w:lvl>
    <w:lvl w:ilvl="5" w:tplc="AEA68A10" w:tentative="1">
      <w:start w:val="1"/>
      <w:numFmt w:val="bullet"/>
      <w:lvlText w:val="•"/>
      <w:lvlJc w:val="left"/>
      <w:pPr>
        <w:tabs>
          <w:tab w:val="num" w:pos="4320"/>
        </w:tabs>
        <w:ind w:left="4320" w:hanging="360"/>
      </w:pPr>
      <w:rPr>
        <w:rFonts w:ascii="Arial" w:hAnsi="Arial" w:hint="default"/>
      </w:rPr>
    </w:lvl>
    <w:lvl w:ilvl="6" w:tplc="16508330" w:tentative="1">
      <w:start w:val="1"/>
      <w:numFmt w:val="bullet"/>
      <w:lvlText w:val="•"/>
      <w:lvlJc w:val="left"/>
      <w:pPr>
        <w:tabs>
          <w:tab w:val="num" w:pos="5040"/>
        </w:tabs>
        <w:ind w:left="5040" w:hanging="360"/>
      </w:pPr>
      <w:rPr>
        <w:rFonts w:ascii="Arial" w:hAnsi="Arial" w:hint="default"/>
      </w:rPr>
    </w:lvl>
    <w:lvl w:ilvl="7" w:tplc="3882494E" w:tentative="1">
      <w:start w:val="1"/>
      <w:numFmt w:val="bullet"/>
      <w:lvlText w:val="•"/>
      <w:lvlJc w:val="left"/>
      <w:pPr>
        <w:tabs>
          <w:tab w:val="num" w:pos="5760"/>
        </w:tabs>
        <w:ind w:left="5760" w:hanging="360"/>
      </w:pPr>
      <w:rPr>
        <w:rFonts w:ascii="Arial" w:hAnsi="Arial" w:hint="default"/>
      </w:rPr>
    </w:lvl>
    <w:lvl w:ilvl="8" w:tplc="9E546F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99"/>
    <w:rsid w:val="000366EE"/>
    <w:rsid w:val="002D29DA"/>
    <w:rsid w:val="0097680D"/>
    <w:rsid w:val="00B01BD8"/>
    <w:rsid w:val="00B94548"/>
    <w:rsid w:val="00BA1A82"/>
    <w:rsid w:val="00E71CE4"/>
    <w:rsid w:val="00E92699"/>
    <w:rsid w:val="00EE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04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2699"/>
    <w:rPr>
      <w:i/>
      <w:iCs/>
    </w:rPr>
  </w:style>
  <w:style w:type="paragraph" w:styleId="FootnoteText">
    <w:name w:val="footnote text"/>
    <w:basedOn w:val="Normal"/>
    <w:link w:val="FootnoteTextChar"/>
    <w:uiPriority w:val="99"/>
    <w:unhideWhenUsed/>
    <w:rsid w:val="00E71CE4"/>
  </w:style>
  <w:style w:type="character" w:customStyle="1" w:styleId="FootnoteTextChar">
    <w:name w:val="Footnote Text Char"/>
    <w:basedOn w:val="DefaultParagraphFont"/>
    <w:link w:val="FootnoteText"/>
    <w:uiPriority w:val="99"/>
    <w:rsid w:val="00E71CE4"/>
  </w:style>
  <w:style w:type="character" w:styleId="FootnoteReference">
    <w:name w:val="footnote reference"/>
    <w:basedOn w:val="DefaultParagraphFont"/>
    <w:uiPriority w:val="99"/>
    <w:unhideWhenUsed/>
    <w:rsid w:val="00E71CE4"/>
    <w:rPr>
      <w:vertAlign w:val="superscript"/>
    </w:rPr>
  </w:style>
  <w:style w:type="paragraph" w:customStyle="1" w:styleId="text">
    <w:name w:val="text"/>
    <w:basedOn w:val="Normal"/>
    <w:rsid w:val="00E71CE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4548"/>
    <w:rPr>
      <w:color w:val="0000FF"/>
      <w:u w:val="single"/>
    </w:rPr>
  </w:style>
  <w:style w:type="paragraph" w:styleId="Footer">
    <w:name w:val="footer"/>
    <w:basedOn w:val="Normal"/>
    <w:link w:val="FooterChar"/>
    <w:uiPriority w:val="99"/>
    <w:unhideWhenUsed/>
    <w:rsid w:val="000366EE"/>
    <w:pPr>
      <w:tabs>
        <w:tab w:val="center" w:pos="4320"/>
        <w:tab w:val="right" w:pos="8640"/>
      </w:tabs>
    </w:pPr>
  </w:style>
  <w:style w:type="character" w:customStyle="1" w:styleId="FooterChar">
    <w:name w:val="Footer Char"/>
    <w:basedOn w:val="DefaultParagraphFont"/>
    <w:link w:val="Footer"/>
    <w:uiPriority w:val="99"/>
    <w:rsid w:val="000366EE"/>
  </w:style>
  <w:style w:type="character" w:styleId="PageNumber">
    <w:name w:val="page number"/>
    <w:basedOn w:val="DefaultParagraphFont"/>
    <w:uiPriority w:val="99"/>
    <w:semiHidden/>
    <w:unhideWhenUsed/>
    <w:rsid w:val="000366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2699"/>
    <w:rPr>
      <w:i/>
      <w:iCs/>
    </w:rPr>
  </w:style>
  <w:style w:type="paragraph" w:styleId="FootnoteText">
    <w:name w:val="footnote text"/>
    <w:basedOn w:val="Normal"/>
    <w:link w:val="FootnoteTextChar"/>
    <w:uiPriority w:val="99"/>
    <w:unhideWhenUsed/>
    <w:rsid w:val="00E71CE4"/>
  </w:style>
  <w:style w:type="character" w:customStyle="1" w:styleId="FootnoteTextChar">
    <w:name w:val="Footnote Text Char"/>
    <w:basedOn w:val="DefaultParagraphFont"/>
    <w:link w:val="FootnoteText"/>
    <w:uiPriority w:val="99"/>
    <w:rsid w:val="00E71CE4"/>
  </w:style>
  <w:style w:type="character" w:styleId="FootnoteReference">
    <w:name w:val="footnote reference"/>
    <w:basedOn w:val="DefaultParagraphFont"/>
    <w:uiPriority w:val="99"/>
    <w:unhideWhenUsed/>
    <w:rsid w:val="00E71CE4"/>
    <w:rPr>
      <w:vertAlign w:val="superscript"/>
    </w:rPr>
  </w:style>
  <w:style w:type="paragraph" w:customStyle="1" w:styleId="text">
    <w:name w:val="text"/>
    <w:basedOn w:val="Normal"/>
    <w:rsid w:val="00E71CE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4548"/>
    <w:rPr>
      <w:color w:val="0000FF"/>
      <w:u w:val="single"/>
    </w:rPr>
  </w:style>
  <w:style w:type="paragraph" w:styleId="Footer">
    <w:name w:val="footer"/>
    <w:basedOn w:val="Normal"/>
    <w:link w:val="FooterChar"/>
    <w:uiPriority w:val="99"/>
    <w:unhideWhenUsed/>
    <w:rsid w:val="000366EE"/>
    <w:pPr>
      <w:tabs>
        <w:tab w:val="center" w:pos="4320"/>
        <w:tab w:val="right" w:pos="8640"/>
      </w:tabs>
    </w:pPr>
  </w:style>
  <w:style w:type="character" w:customStyle="1" w:styleId="FooterChar">
    <w:name w:val="Footer Char"/>
    <w:basedOn w:val="DefaultParagraphFont"/>
    <w:link w:val="Footer"/>
    <w:uiPriority w:val="99"/>
    <w:rsid w:val="000366EE"/>
  </w:style>
  <w:style w:type="character" w:styleId="PageNumber">
    <w:name w:val="page number"/>
    <w:basedOn w:val="DefaultParagraphFont"/>
    <w:uiPriority w:val="99"/>
    <w:semiHidden/>
    <w:unhideWhenUsed/>
    <w:rsid w:val="0003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0238">
      <w:bodyDiv w:val="1"/>
      <w:marLeft w:val="0"/>
      <w:marRight w:val="0"/>
      <w:marTop w:val="0"/>
      <w:marBottom w:val="0"/>
      <w:divBdr>
        <w:top w:val="none" w:sz="0" w:space="0" w:color="auto"/>
        <w:left w:val="none" w:sz="0" w:space="0" w:color="auto"/>
        <w:bottom w:val="none" w:sz="0" w:space="0" w:color="auto"/>
        <w:right w:val="none" w:sz="0" w:space="0" w:color="auto"/>
      </w:divBdr>
      <w:divsChild>
        <w:div w:id="422066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487636">
      <w:bodyDiv w:val="1"/>
      <w:marLeft w:val="0"/>
      <w:marRight w:val="0"/>
      <w:marTop w:val="0"/>
      <w:marBottom w:val="0"/>
      <w:divBdr>
        <w:top w:val="none" w:sz="0" w:space="0" w:color="auto"/>
        <w:left w:val="none" w:sz="0" w:space="0" w:color="auto"/>
        <w:bottom w:val="none" w:sz="0" w:space="0" w:color="auto"/>
        <w:right w:val="none" w:sz="0" w:space="0" w:color="auto"/>
      </w:divBdr>
      <w:divsChild>
        <w:div w:id="1088388672">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w.cornell.edu/anncon/html/amdt1efrag7_user.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cornell.edu/wex/establishment_clause" TargetMode="External"/><Relationship Id="rId9" Type="http://schemas.openxmlformats.org/officeDocument/2006/relationships/hyperlink" Target="http://www.law.cornell.edu/wex/free_exercise_clause" TargetMode="External"/><Relationship Id="rId10" Type="http://schemas.openxmlformats.org/officeDocument/2006/relationships/hyperlink" Target="http://www.law.cornell.edu/anncon/html/amdt1bfrag1_us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4053</Characters>
  <Application>Microsoft Macintosh Word</Application>
  <DocSecurity>0</DocSecurity>
  <Lines>33</Lines>
  <Paragraphs>9</Paragraphs>
  <ScaleCrop>false</ScaleCrop>
  <Company>Westford Academy</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Gorham</dc:creator>
  <cp:keywords/>
  <dc:description/>
  <cp:lastModifiedBy>Christopher Gorham</cp:lastModifiedBy>
  <cp:revision>3</cp:revision>
  <dcterms:created xsi:type="dcterms:W3CDTF">2017-11-14T12:56:00Z</dcterms:created>
  <dcterms:modified xsi:type="dcterms:W3CDTF">2019-10-30T14:51:00Z</dcterms:modified>
</cp:coreProperties>
</file>